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F3" w:rsidRDefault="0092047D">
      <w:pPr>
        <w:spacing w:line="276" w:lineRule="auto"/>
        <w:rPr>
          <w:rFonts w:ascii="Arial" w:eastAsia="Times New Roman" w:hAnsi="Arial" w:cs="Arial"/>
          <w:b/>
          <w:bCs/>
          <w:lang w:eastAsia="de-D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de-DE"/>
        </w:rPr>
        <w:t>Förderfähige Publikationen</w:t>
      </w:r>
    </w:p>
    <w:p w:rsidR="000567F3" w:rsidRDefault="000567F3">
      <w:pPr>
        <w:spacing w:line="276" w:lineRule="auto"/>
        <w:rPr>
          <w:rFonts w:ascii="Arial" w:eastAsia="Times New Roman" w:hAnsi="Arial" w:cs="Arial"/>
          <w:lang w:eastAsia="de-DE"/>
        </w:rPr>
      </w:pPr>
    </w:p>
    <w:p w:rsidR="000567F3" w:rsidRDefault="0092047D">
      <w:p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Gemäß den Richtlinien der DFG und den Vorgaben des MWK müssen folgende Rahmenbedingungen erfüllt sein:</w:t>
      </w:r>
    </w:p>
    <w:p w:rsidR="000567F3" w:rsidRDefault="000567F3">
      <w:pPr>
        <w:spacing w:line="276" w:lineRule="auto"/>
        <w:rPr>
          <w:rFonts w:ascii="Arial" w:eastAsia="Times New Roman" w:hAnsi="Arial" w:cs="Arial"/>
          <w:lang w:eastAsia="de-DE"/>
        </w:rPr>
      </w:pPr>
    </w:p>
    <w:p w:rsidR="000567F3" w:rsidRDefault="0092047D">
      <w:p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Symbol" w:eastAsia="Symbol" w:hAnsi="Symbol" w:cs="Symbol"/>
          <w:lang w:eastAsia="de-DE"/>
        </w:rPr>
        <w:t></w:t>
      </w:r>
      <w:r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Es können nur Artikel in originären Open-Access-Zeitschriften gefördert werden, die im jeweiligen Fach anerkannte, strenge Qualitätssicherungsverfahren anwenden. Eine Übersicht solcher Zeitschriften liefert zum Beispiel das Directory </w:t>
      </w:r>
      <w:proofErr w:type="spellStart"/>
      <w:r>
        <w:rPr>
          <w:rFonts w:ascii="Arial" w:eastAsia="Times New Roman" w:hAnsi="Arial" w:cs="Arial"/>
          <w:lang w:eastAsia="de-DE"/>
        </w:rPr>
        <w:t>of</w:t>
      </w:r>
      <w:proofErr w:type="spellEnd"/>
      <w:r>
        <w:rPr>
          <w:rFonts w:ascii="Arial" w:eastAsia="Times New Roman" w:hAnsi="Arial" w:cs="Arial"/>
          <w:lang w:eastAsia="de-DE"/>
        </w:rPr>
        <w:t xml:space="preserve"> Open Access Journal</w:t>
      </w:r>
      <w:r>
        <w:rPr>
          <w:rFonts w:ascii="Arial" w:eastAsia="Times New Roman" w:hAnsi="Arial" w:cs="Arial"/>
          <w:lang w:eastAsia="de-DE"/>
        </w:rPr>
        <w:t>s (</w:t>
      </w:r>
      <w:hyperlink r:id="rId6" w:tooltip="https://doaj.org" w:history="1">
        <w:r>
          <w:rPr>
            <w:rStyle w:val="Hyperlink"/>
            <w:rFonts w:ascii="Arial" w:eastAsia="Times New Roman" w:hAnsi="Arial" w:cs="Arial"/>
            <w:lang w:eastAsia="de-DE"/>
          </w:rPr>
          <w:t>https://doaj.org</w:t>
        </w:r>
      </w:hyperlink>
      <w:r>
        <w:rPr>
          <w:rFonts w:ascii="Arial" w:eastAsia="Times New Roman" w:hAnsi="Arial" w:cs="Arial"/>
          <w:lang w:eastAsia="de-DE"/>
        </w:rPr>
        <w:t>)</w:t>
      </w:r>
    </w:p>
    <w:p w:rsidR="000567F3" w:rsidRDefault="000567F3">
      <w:pPr>
        <w:spacing w:line="276" w:lineRule="auto"/>
        <w:rPr>
          <w:rFonts w:ascii="Arial" w:eastAsia="Times New Roman" w:hAnsi="Arial" w:cs="Arial"/>
          <w:lang w:eastAsia="de-DE"/>
        </w:rPr>
      </w:pPr>
    </w:p>
    <w:p w:rsidR="000567F3" w:rsidRDefault="0092047D">
      <w:p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Symbol" w:eastAsia="Symbol" w:hAnsi="Symbol" w:cs="Symbol"/>
          <w:lang w:eastAsia="de-DE"/>
        </w:rPr>
        <w:t></w:t>
      </w:r>
      <w:r>
        <w:rPr>
          <w:rFonts w:ascii="Arial" w:eastAsia="Times New Roman" w:hAnsi="Arial" w:cs="Arial"/>
          <w:lang w:eastAsia="de-DE"/>
        </w:rPr>
        <w:t xml:space="preserve"> Die Publikationsgebühren dürfen –inklusive 19 % Mehrwertsteuer –eine Höhe von maximal EUR 2.000 pro Aufsatz nicht übersteigen. Bitte beachten Sie, dass im Ausland ansässige Verl</w:t>
      </w:r>
      <w:r>
        <w:rPr>
          <w:rFonts w:ascii="Arial" w:eastAsia="Times New Roman" w:hAnsi="Arial" w:cs="Arial"/>
          <w:lang w:eastAsia="de-DE"/>
        </w:rPr>
        <w:t>age die Publikationsgebühren in der Regel ohne Mehrwertsteuer angeben. Bei Auslandswährungen addieren Sie bitte daher 19 % auf den in EUR umgerechneten Betrag, um abzuschätzen, ob die Förderhöchstgrenze eingehalten wird. Ausnahme: für Rechnungen in US-Doll</w:t>
      </w:r>
      <w:r>
        <w:rPr>
          <w:rFonts w:ascii="Arial" w:eastAsia="Times New Roman" w:hAnsi="Arial" w:cs="Arial"/>
          <w:lang w:eastAsia="de-DE"/>
        </w:rPr>
        <w:t>ar liegt die Förderhöchstgrenze bei USD 1.900.</w:t>
      </w:r>
    </w:p>
    <w:p w:rsidR="000567F3" w:rsidRDefault="000567F3">
      <w:pPr>
        <w:spacing w:line="276" w:lineRule="auto"/>
        <w:rPr>
          <w:rFonts w:ascii="Arial" w:eastAsia="Times New Roman" w:hAnsi="Arial" w:cs="Arial"/>
          <w:lang w:eastAsia="de-DE"/>
        </w:rPr>
      </w:pPr>
    </w:p>
    <w:p w:rsidR="000567F3" w:rsidRDefault="0092047D">
      <w:p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Symbol" w:eastAsia="Symbol" w:hAnsi="Symbol" w:cs="Symbol"/>
          <w:lang w:eastAsia="de-DE"/>
        </w:rPr>
        <w:t></w:t>
      </w:r>
      <w:r>
        <w:rPr>
          <w:rFonts w:ascii="Arial" w:eastAsia="Times New Roman" w:hAnsi="Arial" w:cs="Arial"/>
          <w:lang w:eastAsia="de-DE"/>
        </w:rPr>
        <w:t xml:space="preserve"> Eine Angehörige/ein Angehöriger Ihrer Einrichtung ist als "</w:t>
      </w:r>
      <w:proofErr w:type="spellStart"/>
      <w:r>
        <w:rPr>
          <w:rFonts w:ascii="Arial" w:eastAsia="Times New Roman" w:hAnsi="Arial" w:cs="Arial"/>
          <w:lang w:eastAsia="de-DE"/>
        </w:rPr>
        <w:t>submitting</w:t>
      </w:r>
      <w:proofErr w:type="spellEnd"/>
      <w:r>
        <w:rPr>
          <w:rFonts w:ascii="Arial" w:eastAsia="Times New Roman" w:hAnsi="Arial" w:cs="Arial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lang w:eastAsia="de-DE"/>
        </w:rPr>
        <w:t>author</w:t>
      </w:r>
      <w:proofErr w:type="spellEnd"/>
      <w:r>
        <w:rPr>
          <w:rFonts w:ascii="Arial" w:eastAsia="Times New Roman" w:hAnsi="Arial" w:cs="Arial"/>
          <w:lang w:eastAsia="de-DE"/>
        </w:rPr>
        <w:t>" oder "</w:t>
      </w:r>
      <w:proofErr w:type="spellStart"/>
      <w:r>
        <w:rPr>
          <w:rFonts w:ascii="Arial" w:eastAsia="Times New Roman" w:hAnsi="Arial" w:cs="Arial"/>
          <w:lang w:eastAsia="de-DE"/>
        </w:rPr>
        <w:t>corresponding</w:t>
      </w:r>
      <w:proofErr w:type="spellEnd"/>
      <w:r>
        <w:rPr>
          <w:rFonts w:ascii="Arial" w:eastAsia="Times New Roman" w:hAnsi="Arial" w:cs="Arial"/>
          <w:lang w:eastAsia="de-DE"/>
        </w:rPr>
        <w:t xml:space="preserve"> </w:t>
      </w:r>
      <w:proofErr w:type="spellStart"/>
      <w:r>
        <w:rPr>
          <w:rFonts w:ascii="Arial" w:eastAsia="Times New Roman" w:hAnsi="Arial" w:cs="Arial"/>
          <w:lang w:eastAsia="de-DE"/>
        </w:rPr>
        <w:t>author</w:t>
      </w:r>
      <w:proofErr w:type="spellEnd"/>
      <w:r>
        <w:rPr>
          <w:rFonts w:ascii="Arial" w:eastAsia="Times New Roman" w:hAnsi="Arial" w:cs="Arial"/>
          <w:lang w:eastAsia="de-DE"/>
        </w:rPr>
        <w:t>" für die Bezahlung der Publikationsgebühren verantwortlich.</w:t>
      </w:r>
    </w:p>
    <w:p w:rsidR="000567F3" w:rsidRDefault="000567F3">
      <w:pPr>
        <w:spacing w:line="276" w:lineRule="auto"/>
        <w:rPr>
          <w:rFonts w:ascii="Arial" w:eastAsia="Times New Roman" w:hAnsi="Arial" w:cs="Arial"/>
          <w:lang w:eastAsia="de-DE"/>
        </w:rPr>
      </w:pPr>
    </w:p>
    <w:p w:rsidR="000567F3" w:rsidRDefault="0092047D">
      <w:p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Symbol" w:eastAsia="Symbol" w:hAnsi="Symbol" w:cs="Symbol"/>
          <w:lang w:eastAsia="de-DE"/>
        </w:rPr>
        <w:t></w:t>
      </w:r>
      <w:r>
        <w:rPr>
          <w:rFonts w:ascii="Arial" w:eastAsia="Times New Roman" w:hAnsi="Arial" w:cs="Arial"/>
          <w:lang w:eastAsia="de-DE"/>
        </w:rPr>
        <w:t xml:space="preserve"> Aufsätze in prinzipiell subskriptionsp</w:t>
      </w:r>
      <w:r>
        <w:rPr>
          <w:rFonts w:ascii="Arial" w:eastAsia="Times New Roman" w:hAnsi="Arial" w:cs="Arial"/>
          <w:lang w:eastAsia="de-DE"/>
        </w:rPr>
        <w:t>flichtigen Zeitschriften nach dem Modell des "hybriden Open Access" sind nicht förderfähig.</w:t>
      </w:r>
    </w:p>
    <w:p w:rsidR="000567F3" w:rsidRDefault="000567F3">
      <w:pPr>
        <w:spacing w:line="276" w:lineRule="auto"/>
        <w:rPr>
          <w:rFonts w:ascii="Arial" w:eastAsia="Times New Roman" w:hAnsi="Arial" w:cs="Arial"/>
          <w:lang w:eastAsia="de-DE"/>
        </w:rPr>
      </w:pPr>
    </w:p>
    <w:p w:rsidR="000567F3" w:rsidRDefault="0092047D">
      <w:pPr>
        <w:spacing w:line="276" w:lineRule="auto"/>
        <w:rPr>
          <w:rFonts w:ascii="Arial" w:eastAsia="Times New Roman" w:hAnsi="Arial" w:cs="Arial"/>
          <w:lang w:val="en-US" w:eastAsia="de-DE"/>
        </w:rPr>
      </w:pPr>
      <w:r>
        <w:rPr>
          <w:rFonts w:ascii="Symbol" w:eastAsia="Symbol" w:hAnsi="Symbol" w:cs="Symbol"/>
          <w:lang w:eastAsia="de-DE"/>
        </w:rPr>
        <w:t></w:t>
      </w:r>
      <w:r>
        <w:rPr>
          <w:rFonts w:ascii="Arial" w:eastAsia="Times New Roman" w:hAnsi="Arial" w:cs="Arial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de-DE"/>
        </w:rPr>
        <w:t>Jede</w:t>
      </w:r>
      <w:proofErr w:type="spellEnd"/>
      <w:r>
        <w:rPr>
          <w:rFonts w:ascii="Arial" w:eastAsia="Times New Roman" w:hAnsi="Arial" w:cs="Arial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de-DE"/>
        </w:rPr>
        <w:t>geförderte</w:t>
      </w:r>
      <w:proofErr w:type="spellEnd"/>
      <w:r>
        <w:rPr>
          <w:rFonts w:ascii="Arial" w:eastAsia="Times New Roman" w:hAnsi="Arial" w:cs="Arial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de-DE"/>
        </w:rPr>
        <w:t>Publikation</w:t>
      </w:r>
      <w:proofErr w:type="spellEnd"/>
      <w:r>
        <w:rPr>
          <w:rFonts w:ascii="Arial" w:eastAsia="Times New Roman" w:hAnsi="Arial" w:cs="Arial"/>
          <w:lang w:val="en-US" w:eastAsia="de-DE"/>
        </w:rPr>
        <w:t xml:space="preserve"> muss </w:t>
      </w:r>
      <w:proofErr w:type="spellStart"/>
      <w:r>
        <w:rPr>
          <w:rFonts w:ascii="Arial" w:eastAsia="Times New Roman" w:hAnsi="Arial" w:cs="Arial"/>
          <w:lang w:val="en-US" w:eastAsia="de-DE"/>
        </w:rPr>
        <w:t>einen</w:t>
      </w:r>
      <w:proofErr w:type="spellEnd"/>
      <w:r>
        <w:rPr>
          <w:rFonts w:ascii="Arial" w:eastAsia="Times New Roman" w:hAnsi="Arial" w:cs="Arial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de-DE"/>
        </w:rPr>
        <w:t>Hinweis</w:t>
      </w:r>
      <w:proofErr w:type="spellEnd"/>
      <w:r>
        <w:rPr>
          <w:rFonts w:ascii="Arial" w:eastAsia="Times New Roman" w:hAnsi="Arial" w:cs="Arial"/>
          <w:lang w:val="en-US" w:eastAsia="de-DE"/>
        </w:rPr>
        <w:t xml:space="preserve"> auf die MWK-</w:t>
      </w:r>
      <w:proofErr w:type="spellStart"/>
      <w:r>
        <w:rPr>
          <w:rFonts w:ascii="Arial" w:eastAsia="Times New Roman" w:hAnsi="Arial" w:cs="Arial"/>
          <w:lang w:val="en-US" w:eastAsia="de-DE"/>
        </w:rPr>
        <w:t>Förderung</w:t>
      </w:r>
      <w:proofErr w:type="spellEnd"/>
      <w:r>
        <w:rPr>
          <w:rFonts w:ascii="Arial" w:eastAsia="Times New Roman" w:hAnsi="Arial" w:cs="Arial"/>
          <w:lang w:val="en-US" w:eastAsia="de-DE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de-DE"/>
        </w:rPr>
        <w:t>enthalten</w:t>
      </w:r>
      <w:proofErr w:type="spellEnd"/>
      <w:r>
        <w:rPr>
          <w:rFonts w:ascii="Arial" w:eastAsia="Times New Roman" w:hAnsi="Arial" w:cs="Arial"/>
          <w:lang w:val="en-US" w:eastAsia="de-DE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de-DE"/>
        </w:rPr>
        <w:t>beispielsweise</w:t>
      </w:r>
      <w:proofErr w:type="spellEnd"/>
      <w:r>
        <w:rPr>
          <w:rFonts w:ascii="Arial" w:eastAsia="Times New Roman" w:hAnsi="Arial" w:cs="Arial"/>
          <w:lang w:val="en-US" w:eastAsia="de-DE"/>
        </w:rPr>
        <w:t>: "The article processing charge was funded by the Baden-Württember</w:t>
      </w:r>
      <w:r>
        <w:rPr>
          <w:rFonts w:ascii="Arial" w:eastAsia="Times New Roman" w:hAnsi="Arial" w:cs="Arial"/>
          <w:lang w:val="en-US" w:eastAsia="de-DE"/>
        </w:rPr>
        <w:t>g Ministry of Science, Research and Culture and the [</w:t>
      </w:r>
      <w:r>
        <w:rPr>
          <w:rFonts w:ascii="Arial" w:eastAsia="Times New Roman" w:hAnsi="Arial" w:cs="Arial"/>
          <w:highlight w:val="yellow"/>
          <w:lang w:val="en-US" w:eastAsia="de-DE"/>
        </w:rPr>
        <w:t>name of your institution</w:t>
      </w:r>
      <w:r>
        <w:rPr>
          <w:rFonts w:ascii="Arial" w:eastAsia="Times New Roman" w:hAnsi="Arial" w:cs="Arial"/>
          <w:lang w:val="en-US" w:eastAsia="de-DE"/>
        </w:rPr>
        <w:t xml:space="preserve">] in the funding </w:t>
      </w:r>
      <w:proofErr w:type="spellStart"/>
      <w:r>
        <w:rPr>
          <w:rFonts w:ascii="Arial" w:eastAsia="Times New Roman" w:hAnsi="Arial" w:cs="Arial"/>
          <w:lang w:val="en-US" w:eastAsia="de-DE"/>
        </w:rPr>
        <w:t>programme</w:t>
      </w:r>
      <w:proofErr w:type="spellEnd"/>
      <w:r>
        <w:rPr>
          <w:rFonts w:ascii="Arial" w:eastAsia="Times New Roman" w:hAnsi="Arial" w:cs="Arial"/>
          <w:lang w:val="en-US" w:eastAsia="de-DE"/>
        </w:rPr>
        <w:t xml:space="preserve"> Open Access Publishing."</w:t>
      </w:r>
    </w:p>
    <w:p w:rsidR="000567F3" w:rsidRDefault="000567F3">
      <w:pPr>
        <w:spacing w:line="276" w:lineRule="auto"/>
        <w:rPr>
          <w:rFonts w:ascii="Arial" w:eastAsia="Times New Roman" w:hAnsi="Arial" w:cs="Arial"/>
          <w:lang w:val="en-US" w:eastAsia="de-DE"/>
        </w:rPr>
      </w:pPr>
    </w:p>
    <w:p w:rsidR="000567F3" w:rsidRDefault="000567F3">
      <w:pPr>
        <w:spacing w:line="276" w:lineRule="auto"/>
        <w:rPr>
          <w:rFonts w:ascii="Arial" w:eastAsia="Times New Roman" w:hAnsi="Arial" w:cs="Arial"/>
          <w:lang w:val="en-US" w:eastAsia="de-DE"/>
        </w:rPr>
      </w:pPr>
    </w:p>
    <w:p w:rsidR="000567F3" w:rsidRDefault="000567F3">
      <w:pPr>
        <w:spacing w:line="276" w:lineRule="auto"/>
        <w:rPr>
          <w:rFonts w:ascii="Arial" w:eastAsia="Times New Roman" w:hAnsi="Arial" w:cs="Arial"/>
          <w:lang w:val="en-US" w:eastAsia="de-DE"/>
        </w:rPr>
      </w:pPr>
    </w:p>
    <w:p w:rsidR="000567F3" w:rsidRDefault="0092047D">
      <w:pPr>
        <w:spacing w:line="276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Entsprechend der Vorgabe des MWK müssen alle Hochschulen, deren Autoren Gelder aus dem Publikationsfonds in Anspruch nehmen </w:t>
      </w:r>
      <w:r>
        <w:rPr>
          <w:rFonts w:ascii="Arial" w:eastAsia="Times New Roman" w:hAnsi="Arial" w:cs="Arial"/>
          <w:lang w:eastAsia="de-DE"/>
        </w:rPr>
        <w:t xml:space="preserve">möchten, einen Open-Access-Policy verabschieden. </w:t>
      </w:r>
    </w:p>
    <w:p w:rsidR="000567F3" w:rsidRDefault="000567F3"/>
    <w:sectPr w:rsidR="00056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7D" w:rsidRDefault="0092047D">
      <w:r>
        <w:separator/>
      </w:r>
    </w:p>
  </w:endnote>
  <w:endnote w:type="continuationSeparator" w:id="0">
    <w:p w:rsidR="0092047D" w:rsidRDefault="0092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5A" w:rsidRDefault="00323F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5A" w:rsidRDefault="00323F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5A" w:rsidRDefault="00323F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7D" w:rsidRDefault="0092047D">
      <w:r>
        <w:separator/>
      </w:r>
    </w:p>
  </w:footnote>
  <w:footnote w:type="continuationSeparator" w:id="0">
    <w:p w:rsidR="0092047D" w:rsidRDefault="0092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5A" w:rsidRDefault="00323F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5A" w:rsidRDefault="00323F5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5A" w:rsidRDefault="00323F5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F3"/>
    <w:rsid w:val="000567F3"/>
    <w:rsid w:val="000C6B92"/>
    <w:rsid w:val="00323F5A"/>
    <w:rsid w:val="0092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aj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2021-11-29T09:26:00Z</dcterms:created>
  <dcterms:modified xsi:type="dcterms:W3CDTF">2021-11-29T09:26:00Z</dcterms:modified>
</cp:coreProperties>
</file>